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EB6" w:rsidRPr="00A05EB6" w:rsidRDefault="00A05EB6" w:rsidP="00A05EB6">
      <w:pPr>
        <w:spacing w:after="120" w:line="240" w:lineRule="auto"/>
        <w:jc w:val="center"/>
        <w:rPr>
          <w:rFonts w:ascii="Times New Roman" w:eastAsia="Calibri" w:hAnsi="Times New Roman" w:cs="Times New Roman"/>
          <w:b/>
          <w:iCs/>
          <w:sz w:val="24"/>
          <w:szCs w:val="24"/>
          <w:lang w:val="bg-BG"/>
        </w:rPr>
      </w:pPr>
      <w:bookmarkStart w:id="0" w:name="_GoBack"/>
      <w:bookmarkEnd w:id="0"/>
      <w:r w:rsidRPr="00A05EB6">
        <w:rPr>
          <w:rFonts w:ascii="Times New Roman" w:eastAsia="Calibri" w:hAnsi="Times New Roman" w:cs="Times New Roman"/>
          <w:b/>
          <w:sz w:val="24"/>
          <w:szCs w:val="24"/>
          <w:lang w:val="bg-BG"/>
        </w:rPr>
        <w:t>МЕТОДОЛОГИЯ ЗА ОЦЕНКА НА ПРОЕКТНО ПРЕДЛОЖЕНИЕ ПО ПРОЦЕДУРА ЗА ДИРЕКТНО ПРЕДОСТАВЯНЕ НА БЕЗВЪЗМЕЗДНА ФИНАНСОВА ПОМОЩ „</w:t>
      </w:r>
      <w:r w:rsidRPr="00A05EB6">
        <w:rPr>
          <w:rFonts w:ascii="Times New Roman" w:eastAsia="SimSun" w:hAnsi="Times New Roman" w:cs="Times New Roman"/>
          <w:b/>
          <w:sz w:val="24"/>
          <w:szCs w:val="24"/>
          <w:lang w:val="bg-BG" w:eastAsia="zh-CN"/>
        </w:rPr>
        <w:t>ПОДКРЕПА ЗА УСПЕХ</w:t>
      </w:r>
      <w:r w:rsidRPr="00A05EB6">
        <w:rPr>
          <w:rFonts w:ascii="Times New Roman" w:eastAsia="Calibri" w:hAnsi="Times New Roman" w:cs="Times New Roman"/>
          <w:b/>
          <w:iCs/>
          <w:sz w:val="24"/>
          <w:szCs w:val="24"/>
          <w:lang w:val="bg-BG"/>
        </w:rPr>
        <w:t>“</w:t>
      </w:r>
    </w:p>
    <w:p w:rsidR="00A05EB6" w:rsidRPr="00A05EB6" w:rsidRDefault="00A05EB6" w:rsidP="00A05EB6">
      <w:pPr>
        <w:spacing w:after="120" w:line="240" w:lineRule="auto"/>
        <w:jc w:val="center"/>
        <w:rPr>
          <w:rFonts w:ascii="Times New Roman" w:eastAsia="SimSun" w:hAnsi="Times New Roman" w:cs="Times New Roman"/>
          <w:sz w:val="24"/>
          <w:szCs w:val="24"/>
          <w:lang w:val="bg-BG" w:eastAsia="zh-CN"/>
        </w:rPr>
      </w:pPr>
    </w:p>
    <w:p w:rsidR="00A05EB6" w:rsidRPr="00A05EB6" w:rsidRDefault="00A05EB6" w:rsidP="00A05EB6">
      <w:pPr>
        <w:numPr>
          <w:ilvl w:val="0"/>
          <w:numId w:val="6"/>
        </w:numPr>
        <w:spacing w:after="120" w:line="240" w:lineRule="auto"/>
        <w:jc w:val="both"/>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ОБЩА ИНФОРМАЦИЯ:</w:t>
      </w:r>
    </w:p>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Проектното предложение се оценява съгласно съответните разпоредби на Раздел ІІІ „Директно предоставяне на безвъзмездна финансова помощ“ от Глава трета „Предоставяне на безвъзмездна финансова помощ“ на ЗУСЕСИФ, включително чл. 44, ал. 5 от ЗУСЕСИФ.</w:t>
      </w:r>
      <w:r w:rsidRPr="00A05EB6">
        <w:rPr>
          <w:rFonts w:ascii="Times New Roman" w:eastAsia="SimSun" w:hAnsi="Times New Roman" w:cs="Times New Roman"/>
          <w:sz w:val="24"/>
          <w:szCs w:val="24"/>
          <w:lang w:val="bg-BG" w:eastAsia="zh-CN"/>
        </w:rPr>
        <w:t xml:space="preserve"> </w:t>
      </w:r>
      <w:r w:rsidRPr="00A05EB6">
        <w:rPr>
          <w:rFonts w:ascii="Times New Roman" w:eastAsia="Calibri" w:hAnsi="Times New Roman" w:cs="Times New Roman"/>
          <w:sz w:val="24"/>
          <w:szCs w:val="24"/>
          <w:lang w:val="bg-BG"/>
        </w:rPr>
        <w:t>За да бъде допуснато до предоставяне на безвъзмездна финансова помощ, проектното предложение трябва да отговаря на  всички подраздели от Таблицата за оценка на административното съответствие и допустимостта и успешно да е преминало техническа и финансова оценка.</w:t>
      </w:r>
    </w:p>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Оценката на проектното предложение се извършва в съответствие с посочените по-долу критерии. Критериите са обособени в раздели и подраздели. При оценката всеки подраздел получава „ДА” или „НЕ”.</w:t>
      </w:r>
    </w:p>
    <w:p w:rsidR="00A05EB6" w:rsidRPr="00A05EB6" w:rsidRDefault="00A05EB6" w:rsidP="00A05EB6">
      <w:pPr>
        <w:spacing w:after="120" w:line="240" w:lineRule="auto"/>
        <w:jc w:val="both"/>
        <w:rPr>
          <w:rFonts w:ascii="Times New Roman" w:eastAsia="Calibri" w:hAnsi="Times New Roman" w:cs="Times New Roman"/>
          <w:b/>
          <w:bCs/>
          <w:i/>
          <w:sz w:val="24"/>
          <w:szCs w:val="24"/>
          <w:lang w:val="bg-BG"/>
        </w:rPr>
      </w:pPr>
      <w:r w:rsidRPr="00A05EB6">
        <w:rPr>
          <w:rFonts w:ascii="Times New Roman" w:eastAsia="Calibri" w:hAnsi="Times New Roman" w:cs="Times New Roman"/>
          <w:b/>
          <w:bCs/>
          <w:i/>
          <w:sz w:val="24"/>
          <w:szCs w:val="24"/>
          <w:lang w:val="bg-BG"/>
        </w:rPr>
        <w:t>За да бъде допуснато до директно предоставяне на безвъзмездна финансова помощ, проектното предложение трябва да е получило  „ДА” на всички подраздели от Таблицата за оценка. Проектното предложение получава „ДА“ на съответния раздел, само в случай че е получило „ДА“ на всички подраздели в рамките на същия.</w:t>
      </w:r>
    </w:p>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В резултат от техническата и финансова оценка на проектното предложение, Оценителната комисия следва да отстрани заложени от кандидата дейности, в случаите, когато те са недопустими, необосновани или не са свързани с изпълнението на целите на операцията. Оценителната комисия следва да извърши редукция на бюджета на проектното предложение в случаите, в които разходите са недопустими или необосновани или е установено дублиране на разходи или планираните стойности не съответстват на определените ограничения, като се съблюдава изискването за процентно съотношение между отделните разходи (където е приложимо).</w:t>
      </w:r>
    </w:p>
    <w:p w:rsidR="00A05EB6" w:rsidRPr="00A05EB6" w:rsidRDefault="00A05EB6" w:rsidP="00A05EB6">
      <w:pPr>
        <w:spacing w:after="120" w:line="240" w:lineRule="auto"/>
        <w:rPr>
          <w:rFonts w:ascii="Times New Roman" w:eastAsia="Times New Roman" w:hAnsi="Times New Roman" w:cs="Times New Roman"/>
          <w:b/>
          <w:caps/>
          <w:lang w:val="bg-BG"/>
        </w:rPr>
      </w:pPr>
    </w:p>
    <w:p w:rsidR="00A05EB6" w:rsidRPr="00A05EB6" w:rsidRDefault="00A05EB6" w:rsidP="00A05EB6">
      <w:pPr>
        <w:numPr>
          <w:ilvl w:val="0"/>
          <w:numId w:val="7"/>
        </w:numPr>
        <w:spacing w:after="120" w:line="240" w:lineRule="auto"/>
        <w:rPr>
          <w:rFonts w:ascii="Times New Roman" w:eastAsia="Times New Roman" w:hAnsi="Times New Roman" w:cs="Times New Roman"/>
          <w:b/>
          <w:caps/>
          <w:lang w:val="bg-BG"/>
        </w:rPr>
      </w:pPr>
      <w:r w:rsidRPr="00A05EB6">
        <w:rPr>
          <w:rFonts w:ascii="Times New Roman" w:eastAsia="Times New Roman" w:hAnsi="Times New Roman" w:cs="Times New Roman"/>
          <w:b/>
          <w:caps/>
          <w:lang w:val="bg-BG"/>
        </w:rPr>
        <w:t>ТАБЛИЦА ЗА ОЦЕНКА НА АДМИНИСТРАТИВНОТО СЪОТВЕТСТВИЕ И ДОПУСТИМОСТ</w:t>
      </w:r>
    </w:p>
    <w:p w:rsidR="00A05EB6" w:rsidRPr="00A05EB6" w:rsidRDefault="00A05EB6" w:rsidP="00A05EB6">
      <w:pPr>
        <w:spacing w:after="120" w:line="240" w:lineRule="auto"/>
        <w:jc w:val="center"/>
        <w:rPr>
          <w:rFonts w:ascii="Times New Roman" w:eastAsia="Times New Roman" w:hAnsi="Times New Roman" w:cs="Times New Roman"/>
          <w:b/>
          <w:caps/>
          <w:lang w:val="bg-BG"/>
        </w:rPr>
      </w:pP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804"/>
        <w:gridCol w:w="880"/>
        <w:gridCol w:w="767"/>
      </w:tblGrid>
      <w:tr w:rsidR="00A05EB6" w:rsidRPr="00A05EB6" w:rsidTr="00D53BAB">
        <w:tc>
          <w:tcPr>
            <w:tcW w:w="7085" w:type="dxa"/>
            <w:tcBorders>
              <w:top w:val="single" w:sz="4" w:space="0" w:color="auto"/>
              <w:left w:val="single" w:sz="4" w:space="0" w:color="auto"/>
              <w:bottom w:val="single" w:sz="4" w:space="0" w:color="auto"/>
              <w:right w:val="single" w:sz="4" w:space="0" w:color="auto"/>
            </w:tcBorders>
            <w:shd w:val="clear" w:color="auto" w:fill="E0E0E0"/>
            <w:hideMark/>
          </w:tcPr>
          <w:p w:rsidR="00A05EB6" w:rsidRPr="00A05EB6" w:rsidRDefault="00A05EB6" w:rsidP="00A05EB6">
            <w:pPr>
              <w:tabs>
                <w:tab w:val="left" w:pos="-284"/>
              </w:tabs>
              <w:spacing w:after="120" w:line="240" w:lineRule="auto"/>
              <w:jc w:val="both"/>
              <w:rPr>
                <w:rFonts w:ascii="Times New Roman" w:eastAsia="Times New Roman" w:hAnsi="Times New Roman" w:cs="Times New Roman"/>
                <w:b/>
                <w:lang w:val="bg-BG"/>
              </w:rPr>
            </w:pPr>
            <w:r w:rsidRPr="00A05EB6">
              <w:rPr>
                <w:rFonts w:ascii="Times New Roman" w:eastAsia="Times New Roman" w:hAnsi="Times New Roman" w:cs="Times New Roman"/>
                <w:b/>
                <w:lang w:val="bg-BG"/>
              </w:rPr>
              <w:t>КРИТЕРИИ ЗА ОЦЕНКА НА АДМИНИСТРАТИВНО СЪОТВЕТСТВИЕ</w:t>
            </w:r>
            <w:r w:rsidRPr="00A05EB6">
              <w:rPr>
                <w:rFonts w:ascii="Times New Roman" w:eastAsia="Times New Roman" w:hAnsi="Times New Roman" w:cs="Times New Roman"/>
                <w:b/>
                <w:vertAlign w:val="superscript"/>
                <w:lang w:val="bg-BG"/>
              </w:rPr>
              <w:footnoteReference w:id="1"/>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rsidR="00A05EB6" w:rsidRPr="00A05EB6" w:rsidRDefault="00A05EB6" w:rsidP="00A05EB6">
            <w:pPr>
              <w:spacing w:after="120" w:line="240" w:lineRule="auto"/>
              <w:jc w:val="both"/>
              <w:rPr>
                <w:rFonts w:ascii="Times New Roman" w:eastAsia="Times New Roman" w:hAnsi="Times New Roman" w:cs="Times New Roman"/>
                <w:b/>
                <w:lang w:val="bg-BG"/>
              </w:rPr>
            </w:pPr>
            <w:r w:rsidRPr="00A05EB6">
              <w:rPr>
                <w:rFonts w:ascii="Times New Roman" w:eastAsia="Times New Roman" w:hAnsi="Times New Roman" w:cs="Times New Roman"/>
                <w:b/>
                <w:lang w:val="bg-BG"/>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rsidR="00A05EB6" w:rsidRPr="00A05EB6" w:rsidRDefault="00A05EB6" w:rsidP="00A05EB6">
            <w:pPr>
              <w:spacing w:after="120" w:line="240" w:lineRule="auto"/>
              <w:jc w:val="both"/>
              <w:rPr>
                <w:rFonts w:ascii="Times New Roman" w:eastAsia="Times New Roman" w:hAnsi="Times New Roman" w:cs="Times New Roman"/>
                <w:b/>
                <w:lang w:val="bg-BG"/>
              </w:rPr>
            </w:pPr>
            <w:r w:rsidRPr="00A05EB6">
              <w:rPr>
                <w:rFonts w:ascii="Times New Roman" w:eastAsia="Times New Roman" w:hAnsi="Times New Roman" w:cs="Times New Roman"/>
                <w:b/>
                <w:lang w:val="bg-BG"/>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hideMark/>
          </w:tcPr>
          <w:p w:rsidR="00A05EB6" w:rsidRPr="00A05EB6" w:rsidRDefault="00A05EB6" w:rsidP="00A05EB6">
            <w:pPr>
              <w:spacing w:after="120" w:line="240" w:lineRule="auto"/>
              <w:jc w:val="both"/>
              <w:rPr>
                <w:rFonts w:ascii="Times New Roman" w:eastAsia="Times New Roman" w:hAnsi="Times New Roman" w:cs="Times New Roman"/>
                <w:b/>
                <w:lang w:val="bg-BG"/>
              </w:rPr>
            </w:pPr>
            <w:r w:rsidRPr="00A05EB6">
              <w:rPr>
                <w:rFonts w:ascii="Times New Roman" w:eastAsia="Times New Roman" w:hAnsi="Times New Roman" w:cs="Times New Roman"/>
                <w:b/>
                <w:lang w:val="bg-BG"/>
              </w:rPr>
              <w:t>Н/П</w:t>
            </w:r>
          </w:p>
        </w:tc>
      </w:tr>
      <w:tr w:rsidR="00A05EB6" w:rsidRPr="00A05EB6"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ind w:left="498" w:hanging="426"/>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7" w:history="1">
              <w:r w:rsidRPr="00A05EB6">
                <w:rPr>
                  <w:rFonts w:ascii="Times New Roman" w:eastAsia="Calibri" w:hAnsi="Times New Roman" w:cs="Times New Roman"/>
                  <w:color w:val="0000FF"/>
                  <w:sz w:val="24"/>
                  <w:szCs w:val="24"/>
                  <w:u w:val="single"/>
                  <w:lang w:val="bg-BG"/>
                </w:rPr>
                <w:t>https://eumis2020.government.bg</w:t>
              </w:r>
            </w:hyperlink>
            <w:r w:rsidRPr="00A05EB6">
              <w:rPr>
                <w:rFonts w:ascii="Times New Roman" w:eastAsia="Calibri" w:hAnsi="Times New Roman" w:cs="Times New Roman"/>
                <w:sz w:val="24"/>
                <w:szCs w:val="24"/>
                <w:lang w:val="bg-BG"/>
              </w:rPr>
              <w:t xml:space="preserve"> и е получено в срок.</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A05EB6"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lastRenderedPageBreak/>
              <w:t>Формулярът за кандидатстване е подписан с квалифициран електронен подпис (КЕП) от законния представител на кандидата или оправомощено за целите на подаването на проектното предложение лице.</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A05EB6"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Заповед за упълномощаване на лице, което да представлява конкретния бенефициент по конкретния проект и да подписва всички документи, свързани с подаването, оценката на подаденото проектно предложение, предоставянето на документи, необходими за подписването на административния договор за предоставяне на БФП и изпълнението на проекта,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8B3ED9"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ind w:left="498" w:hanging="426"/>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Декларация на представляващия кандидата,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8B3ED9"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Декларация от кандидата относно задължението да представя оригинали на УО,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8B3ED9"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Декларация за съгласие на кандидата за ползване и разпространение на обобщените данни по проекта от УО и от НСИ,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8B3ED9"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Декларация за липса на двойно финансиране, попълнена по образец към Условията за кандидатстване, прикачена в ИСУН 2020.</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8B3ED9"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Автобиографии на членовете на екипа за управление на проекта, попълнени по образец към Условията за кандидатстване, прикачени в ИСУН 2020.</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A05EB6"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4529EA">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Детайлна разбивка на разходите, попълнена по образец към Условията за кандидатстване, прикачена в ИСУН 2020. </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A05EB6" w:rsidTr="00D53BAB">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8"/>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Оферти и/или извлечения от каталози на производител/ доставчик и/или проучвания в интернет за активи/услуги – с предложен и цени от производителя/доставчика, прикачени в ИСУН 2020. </w:t>
            </w:r>
          </w:p>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lang w:val="bg-BG"/>
              </w:rPr>
            </w:pPr>
          </w:p>
        </w:tc>
      </w:tr>
      <w:tr w:rsidR="00A05EB6" w:rsidRPr="00A05EB6" w:rsidTr="00D53BAB">
        <w:tc>
          <w:tcPr>
            <w:tcW w:w="7085" w:type="dxa"/>
            <w:tcBorders>
              <w:top w:val="single" w:sz="4" w:space="0" w:color="auto"/>
              <w:left w:val="single" w:sz="4" w:space="0" w:color="auto"/>
              <w:bottom w:val="single" w:sz="4" w:space="0" w:color="auto"/>
              <w:right w:val="single" w:sz="4" w:space="0" w:color="auto"/>
            </w:tcBorders>
            <w:shd w:val="clear" w:color="auto" w:fill="E0E0E0"/>
            <w:hideMark/>
          </w:tcPr>
          <w:p w:rsidR="00A05EB6" w:rsidRPr="00A05EB6" w:rsidRDefault="00A05EB6" w:rsidP="00A05EB6">
            <w:pPr>
              <w:spacing w:after="120" w:line="240" w:lineRule="auto"/>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 xml:space="preserve">КРИТЕРИИ ЗА ОЦЕНКА НА ДОПУСТИМОСТТА </w:t>
            </w:r>
          </w:p>
        </w:tc>
        <w:tc>
          <w:tcPr>
            <w:tcW w:w="804" w:type="dxa"/>
            <w:tcBorders>
              <w:top w:val="single" w:sz="4" w:space="0" w:color="auto"/>
              <w:left w:val="single" w:sz="4" w:space="0" w:color="auto"/>
              <w:bottom w:val="single" w:sz="4" w:space="0" w:color="auto"/>
              <w:right w:val="single" w:sz="4" w:space="0" w:color="auto"/>
            </w:tcBorders>
            <w:shd w:val="clear" w:color="auto" w:fill="E0E0E0"/>
            <w:hideMark/>
          </w:tcPr>
          <w:p w:rsidR="00A05EB6" w:rsidRPr="00A05EB6" w:rsidRDefault="00A05EB6" w:rsidP="00A05EB6">
            <w:pPr>
              <w:spacing w:after="120" w:line="240" w:lineRule="auto"/>
              <w:jc w:val="both"/>
              <w:rPr>
                <w:rFonts w:ascii="Times New Roman" w:eastAsia="Times New Roman" w:hAnsi="Times New Roman" w:cs="Times New Roman"/>
                <w:b/>
                <w:lang w:val="bg-BG"/>
              </w:rPr>
            </w:pPr>
            <w:r w:rsidRPr="00A05EB6">
              <w:rPr>
                <w:rFonts w:ascii="Times New Roman" w:eastAsia="Times New Roman" w:hAnsi="Times New Roman" w:cs="Times New Roman"/>
                <w:b/>
                <w:lang w:val="bg-BG"/>
              </w:rPr>
              <w:t>ДА</w:t>
            </w:r>
          </w:p>
        </w:tc>
        <w:tc>
          <w:tcPr>
            <w:tcW w:w="880" w:type="dxa"/>
            <w:tcBorders>
              <w:top w:val="single" w:sz="4" w:space="0" w:color="auto"/>
              <w:left w:val="single" w:sz="4" w:space="0" w:color="auto"/>
              <w:bottom w:val="single" w:sz="4" w:space="0" w:color="auto"/>
              <w:right w:val="single" w:sz="4" w:space="0" w:color="auto"/>
            </w:tcBorders>
            <w:shd w:val="clear" w:color="auto" w:fill="E0E0E0"/>
            <w:hideMark/>
          </w:tcPr>
          <w:p w:rsidR="00A05EB6" w:rsidRPr="00A05EB6" w:rsidRDefault="00A05EB6" w:rsidP="00A05EB6">
            <w:pPr>
              <w:spacing w:after="120" w:line="240" w:lineRule="auto"/>
              <w:jc w:val="both"/>
              <w:rPr>
                <w:rFonts w:ascii="Times New Roman" w:eastAsia="Times New Roman" w:hAnsi="Times New Roman" w:cs="Times New Roman"/>
                <w:b/>
                <w:lang w:val="bg-BG"/>
              </w:rPr>
            </w:pPr>
            <w:r w:rsidRPr="00A05EB6">
              <w:rPr>
                <w:rFonts w:ascii="Times New Roman" w:eastAsia="Times New Roman" w:hAnsi="Times New Roman" w:cs="Times New Roman"/>
                <w:b/>
                <w:lang w:val="bg-BG"/>
              </w:rPr>
              <w:t>НЕ</w:t>
            </w:r>
          </w:p>
        </w:tc>
        <w:tc>
          <w:tcPr>
            <w:tcW w:w="767" w:type="dxa"/>
            <w:tcBorders>
              <w:top w:val="single" w:sz="4" w:space="0" w:color="auto"/>
              <w:left w:val="single" w:sz="4" w:space="0" w:color="auto"/>
              <w:bottom w:val="single" w:sz="4" w:space="0" w:color="auto"/>
              <w:right w:val="single" w:sz="4" w:space="0" w:color="auto"/>
            </w:tcBorders>
            <w:shd w:val="clear" w:color="auto" w:fill="E0E0E0"/>
          </w:tcPr>
          <w:p w:rsidR="00A05EB6" w:rsidRPr="00A05EB6" w:rsidRDefault="00A05EB6" w:rsidP="00A05EB6">
            <w:pPr>
              <w:spacing w:after="120" w:line="240" w:lineRule="auto"/>
              <w:jc w:val="both"/>
              <w:rPr>
                <w:rFonts w:ascii="Times New Roman" w:eastAsia="Times New Roman" w:hAnsi="Times New Roman" w:cs="Times New Roman"/>
                <w:b/>
                <w:lang w:val="bg-BG"/>
              </w:rPr>
            </w:pPr>
          </w:p>
          <w:p w:rsidR="00A05EB6" w:rsidRPr="00A05EB6" w:rsidRDefault="00A05EB6" w:rsidP="00A05EB6">
            <w:pPr>
              <w:spacing w:after="120" w:line="240" w:lineRule="auto"/>
              <w:jc w:val="both"/>
              <w:rPr>
                <w:rFonts w:ascii="Times New Roman" w:eastAsia="Times New Roman" w:hAnsi="Times New Roman" w:cs="Times New Roman"/>
                <w:b/>
                <w:lang w:val="bg-BG"/>
              </w:rPr>
            </w:pPr>
          </w:p>
        </w:tc>
      </w:tr>
      <w:tr w:rsidR="00A05EB6" w:rsidRPr="00A05EB6" w:rsidTr="00D53BAB">
        <w:trPr>
          <w:trHeight w:val="338"/>
        </w:trPr>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numPr>
                <w:ilvl w:val="0"/>
                <w:numId w:val="9"/>
              </w:num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Кандидатът е допустим, съгласно т. 11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r>
      <w:tr w:rsidR="00A05EB6" w:rsidRPr="00A05EB6" w:rsidTr="00D53BAB">
        <w:trPr>
          <w:trHeight w:val="338"/>
        </w:trPr>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2. Кандидатът е пряко отговорен за подготовката, управлението и изпълнението на дейностите по проекта, а не изпълнява ролята на посредник.</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r>
      <w:tr w:rsidR="00A05EB6" w:rsidRPr="009221B2" w:rsidTr="00D53BAB">
        <w:trPr>
          <w:trHeight w:val="338"/>
        </w:trPr>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3.</w:t>
            </w:r>
            <w:r w:rsidR="009221B2">
              <w:rPr>
                <w:rFonts w:ascii="Times New Roman" w:eastAsia="Calibri" w:hAnsi="Times New Roman" w:cs="Times New Roman"/>
                <w:sz w:val="24"/>
                <w:szCs w:val="24"/>
                <w:lang w:val="bg-BG"/>
              </w:rPr>
              <w:t xml:space="preserve"> </w:t>
            </w:r>
            <w:r w:rsidRPr="00A05EB6">
              <w:rPr>
                <w:rFonts w:ascii="Times New Roman" w:eastAsia="Calibri" w:hAnsi="Times New Roman" w:cs="Times New Roman"/>
                <w:sz w:val="24"/>
                <w:szCs w:val="24"/>
                <w:lang w:val="bg-BG"/>
              </w:rPr>
              <w:t>Проектното предложение отговоря на изискванията за териториален обхват, съгласно т. 5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r>
      <w:tr w:rsidR="00A05EB6" w:rsidRPr="009221B2" w:rsidTr="00D53BAB">
        <w:trPr>
          <w:trHeight w:val="338"/>
        </w:trPr>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4. Продължителността на проекта е в съответствие с т. 18 от Условията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r>
      <w:tr w:rsidR="00A05EB6" w:rsidRPr="00D2152F" w:rsidTr="00D53BAB">
        <w:trPr>
          <w:trHeight w:val="338"/>
        </w:trPr>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5. Дейностите са допустими съгласно т. 13 от Условията за кандидатстване.</w:t>
            </w:r>
          </w:p>
          <w:p w:rsidR="00A05EB6" w:rsidRPr="00A05EB6" w:rsidRDefault="00A05EB6" w:rsidP="00A05EB6">
            <w:pPr>
              <w:spacing w:after="120" w:line="240" w:lineRule="auto"/>
              <w:jc w:val="both"/>
              <w:rPr>
                <w:rFonts w:ascii="Times New Roman" w:eastAsia="Calibri" w:hAnsi="Times New Roman" w:cs="Times New Roman"/>
                <w:i/>
                <w:sz w:val="24"/>
                <w:szCs w:val="24"/>
                <w:lang w:val="bg-BG"/>
              </w:rPr>
            </w:pPr>
            <w:r w:rsidRPr="00A05EB6">
              <w:rPr>
                <w:rFonts w:ascii="Times New Roman" w:eastAsia="Calibri" w:hAnsi="Times New Roman" w:cs="Times New Roman"/>
                <w:i/>
                <w:sz w:val="24"/>
                <w:szCs w:val="24"/>
                <w:lang w:val="bg-BG"/>
              </w:rPr>
              <w:t>В случай, че проектното предложение не съдържа нито една допустима дейност, съгласно т. 13 от Условията за кандидатстване, то ще бъде отхвърлено.</w:t>
            </w:r>
          </w:p>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i/>
                <w:sz w:val="24"/>
                <w:szCs w:val="24"/>
                <w:lang w:val="bg-BG"/>
              </w:rPr>
              <w:t>В случай, че проектното предложение съдържа недопустима/и дейност/и, на етап техническа и финансова оценка оценителната комисия следва да ги отстрани, както и предвидените за тях разходи.</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r>
      <w:tr w:rsidR="00A05EB6" w:rsidRPr="00D2152F" w:rsidTr="00D53BAB">
        <w:trPr>
          <w:trHeight w:val="338"/>
        </w:trPr>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6. Дейностите по проекта НЕ са били стартирани,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бенефициента или не съгласно т.1 , т.7 и  т.10 от Формуляра за кандидатстване.</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r>
      <w:tr w:rsidR="00A05EB6" w:rsidRPr="00D2152F" w:rsidTr="00D53BAB">
        <w:trPr>
          <w:trHeight w:val="338"/>
        </w:trPr>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7. Планираните разходи са допустими съгласно т. 14 от Условията за кандидатстване.</w:t>
            </w:r>
          </w:p>
          <w:p w:rsidR="00A05EB6" w:rsidRPr="00A05EB6" w:rsidRDefault="00A05EB6" w:rsidP="00A05EB6">
            <w:pPr>
              <w:tabs>
                <w:tab w:val="left" w:pos="-284"/>
              </w:tabs>
              <w:spacing w:after="120" w:line="240" w:lineRule="auto"/>
              <w:jc w:val="both"/>
              <w:rPr>
                <w:rFonts w:ascii="Times New Roman" w:eastAsia="Calibri" w:hAnsi="Times New Roman" w:cs="Times New Roman"/>
                <w:i/>
                <w:sz w:val="24"/>
                <w:szCs w:val="24"/>
                <w:lang w:val="bg-BG"/>
              </w:rPr>
            </w:pPr>
            <w:r w:rsidRPr="00A05EB6">
              <w:rPr>
                <w:rFonts w:ascii="Times New Roman" w:eastAsia="Calibri" w:hAnsi="Times New Roman" w:cs="Times New Roman"/>
                <w:i/>
                <w:sz w:val="24"/>
                <w:szCs w:val="24"/>
                <w:lang w:val="bg-BG"/>
              </w:rPr>
              <w:t>В случай, че проектното предложение съдържа недопустим/и разход/и, на етап техническа и финансова оценка оценителната комисия следва да ги отстрани.</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r>
      <w:tr w:rsidR="00A05EB6" w:rsidRPr="00D2152F" w:rsidTr="00D53BAB">
        <w:trPr>
          <w:trHeight w:val="338"/>
        </w:trPr>
        <w:tc>
          <w:tcPr>
            <w:tcW w:w="7085" w:type="dxa"/>
            <w:tcBorders>
              <w:top w:val="single" w:sz="4" w:space="0" w:color="auto"/>
              <w:left w:val="single" w:sz="4" w:space="0" w:color="auto"/>
              <w:bottom w:val="single" w:sz="4" w:space="0" w:color="auto"/>
              <w:right w:val="single" w:sz="4" w:space="0" w:color="auto"/>
            </w:tcBorders>
            <w:hideMark/>
          </w:tcPr>
          <w:p w:rsidR="00A05EB6" w:rsidRPr="00A05EB6" w:rsidRDefault="00A05EB6" w:rsidP="00A05EB6">
            <w:pPr>
              <w:tabs>
                <w:tab w:val="left" w:pos="-284"/>
              </w:tabs>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8. В проектното предложение са заложени целеви стойности на индикаторите за изпълнение и резултат, които са количествено определени с положителни целеви стойности, различни от 0.</w:t>
            </w:r>
          </w:p>
        </w:tc>
        <w:tc>
          <w:tcPr>
            <w:tcW w:w="804"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880"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c>
          <w:tcPr>
            <w:tcW w:w="767" w:type="dxa"/>
            <w:tcBorders>
              <w:top w:val="single" w:sz="4" w:space="0" w:color="auto"/>
              <w:left w:val="single" w:sz="4" w:space="0" w:color="auto"/>
              <w:bottom w:val="single" w:sz="4" w:space="0" w:color="auto"/>
              <w:right w:val="single" w:sz="4" w:space="0" w:color="auto"/>
            </w:tcBorders>
          </w:tcPr>
          <w:p w:rsidR="00A05EB6" w:rsidRPr="00A05EB6" w:rsidRDefault="00A05EB6" w:rsidP="00A05EB6">
            <w:pPr>
              <w:spacing w:after="120" w:line="240" w:lineRule="auto"/>
              <w:jc w:val="both"/>
              <w:rPr>
                <w:rFonts w:ascii="Times New Roman" w:eastAsia="Times New Roman" w:hAnsi="Times New Roman" w:cs="Times New Roman"/>
                <w:b/>
                <w:lang w:val="bg-BG"/>
              </w:rPr>
            </w:pPr>
          </w:p>
        </w:tc>
      </w:tr>
    </w:tbl>
    <w:p w:rsidR="00A05EB6" w:rsidRDefault="00A05EB6" w:rsidP="00A05EB6">
      <w:pPr>
        <w:tabs>
          <w:tab w:val="left" w:pos="1185"/>
        </w:tabs>
        <w:spacing w:after="120" w:line="240" w:lineRule="auto"/>
        <w:rPr>
          <w:rFonts w:ascii="Times New Roman" w:eastAsia="Calibri" w:hAnsi="Times New Roman" w:cs="Times New Roman"/>
          <w:b/>
          <w:sz w:val="24"/>
          <w:szCs w:val="24"/>
          <w:lang w:val="bg-BG"/>
        </w:rPr>
      </w:pPr>
    </w:p>
    <w:p w:rsidR="00A05EB6" w:rsidRPr="00A05EB6" w:rsidRDefault="00A05EB6" w:rsidP="00A05EB6">
      <w:pPr>
        <w:tabs>
          <w:tab w:val="left" w:pos="1185"/>
        </w:tabs>
        <w:spacing w:after="120" w:line="240" w:lineRule="auto"/>
        <w:rPr>
          <w:rFonts w:ascii="Times New Roman" w:eastAsia="Calibri" w:hAnsi="Times New Roman" w:cs="Times New Roman"/>
          <w:b/>
          <w:sz w:val="24"/>
          <w:szCs w:val="24"/>
          <w:lang w:val="bg-BG"/>
        </w:rPr>
      </w:pPr>
    </w:p>
    <w:p w:rsidR="00A05EB6" w:rsidRPr="00A05EB6" w:rsidRDefault="00A05EB6" w:rsidP="00A05EB6">
      <w:pPr>
        <w:tabs>
          <w:tab w:val="left" w:pos="1185"/>
        </w:tabs>
        <w:spacing w:after="120" w:line="240" w:lineRule="auto"/>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II. ТАБЛИЦА ЗА ТЕХНИЧЕСКА И ФИНАНСОВА ОЦЕНКА</w:t>
      </w:r>
    </w:p>
    <w:tbl>
      <w:tblPr>
        <w:tblpPr w:leftFromText="180" w:rightFromText="180" w:vertAnchor="text" w:tblpXSpec="center" w:tblpY="1"/>
        <w:tblOverlap w:val="neve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2"/>
        <w:gridCol w:w="2370"/>
        <w:gridCol w:w="3063"/>
      </w:tblGrid>
      <w:tr w:rsidR="00A05EB6" w:rsidRPr="00D2152F" w:rsidTr="00D53BAB">
        <w:tc>
          <w:tcPr>
            <w:tcW w:w="4462" w:type="dxa"/>
            <w:tcBorders>
              <w:top w:val="single" w:sz="4" w:space="0" w:color="auto"/>
              <w:left w:val="single" w:sz="4" w:space="0" w:color="auto"/>
              <w:bottom w:val="single" w:sz="4" w:space="0" w:color="auto"/>
              <w:right w:val="single" w:sz="4" w:space="0" w:color="auto"/>
            </w:tcBorders>
            <w:shd w:val="clear" w:color="auto" w:fill="D9D9D9"/>
            <w:hideMark/>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Раздел</w:t>
            </w:r>
          </w:p>
        </w:tc>
        <w:tc>
          <w:tcPr>
            <w:tcW w:w="2370" w:type="dxa"/>
            <w:tcBorders>
              <w:top w:val="single" w:sz="4" w:space="0" w:color="auto"/>
              <w:left w:val="single" w:sz="4" w:space="0" w:color="auto"/>
              <w:bottom w:val="single" w:sz="4" w:space="0" w:color="auto"/>
              <w:right w:val="single" w:sz="4" w:space="0" w:color="auto"/>
            </w:tcBorders>
            <w:shd w:val="clear" w:color="auto" w:fill="D9D9D9"/>
            <w:hideMark/>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ДА/НЕ</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Част от Формуляра за кандидатстване</w:t>
            </w:r>
          </w:p>
        </w:tc>
      </w:tr>
      <w:tr w:rsidR="00A05EB6" w:rsidRPr="00D2152F" w:rsidTr="00D53BAB">
        <w:tc>
          <w:tcPr>
            <w:tcW w:w="4462" w:type="dxa"/>
            <w:tcBorders>
              <w:top w:val="single" w:sz="4" w:space="0" w:color="auto"/>
              <w:left w:val="single" w:sz="4" w:space="0" w:color="auto"/>
              <w:bottom w:val="single" w:sz="4" w:space="0" w:color="auto"/>
              <w:right w:val="single" w:sz="4" w:space="0" w:color="auto"/>
            </w:tcBorders>
            <w:shd w:val="clear" w:color="auto" w:fill="D9D9D9"/>
            <w:hideMark/>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1. Финансов, технически и административен капацитет</w:t>
            </w:r>
          </w:p>
        </w:tc>
        <w:tc>
          <w:tcPr>
            <w:tcW w:w="2370" w:type="dxa"/>
            <w:tcBorders>
              <w:top w:val="single" w:sz="4" w:space="0" w:color="auto"/>
              <w:left w:val="single" w:sz="4" w:space="0" w:color="auto"/>
              <w:bottom w:val="single" w:sz="4" w:space="0" w:color="auto"/>
              <w:right w:val="single" w:sz="4" w:space="0" w:color="auto"/>
            </w:tcBorders>
            <w:shd w:val="clear" w:color="auto" w:fill="D9D9D9"/>
            <w:vAlign w:val="center"/>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p>
        </w:tc>
        <w:tc>
          <w:tcPr>
            <w:tcW w:w="3063" w:type="dxa"/>
            <w:tcBorders>
              <w:top w:val="single" w:sz="4" w:space="0" w:color="auto"/>
              <w:left w:val="single" w:sz="4" w:space="0" w:color="auto"/>
              <w:bottom w:val="single" w:sz="4" w:space="0" w:color="auto"/>
              <w:right w:val="single" w:sz="4" w:space="0" w:color="auto"/>
            </w:tcBorders>
            <w:shd w:val="clear" w:color="auto" w:fill="D9D9D9"/>
            <w:vAlign w:val="center"/>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p>
        </w:tc>
      </w:tr>
      <w:tr w:rsidR="00A05EB6" w:rsidRPr="00A05EB6" w:rsidTr="000253F3">
        <w:tc>
          <w:tcPr>
            <w:tcW w:w="4462" w:type="dxa"/>
            <w:tcBorders>
              <w:top w:val="single" w:sz="6" w:space="0" w:color="000000"/>
              <w:left w:val="single" w:sz="6" w:space="0" w:color="000000"/>
              <w:bottom w:val="single" w:sz="4" w:space="0" w:color="auto"/>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1.1. Финансов капацитет</w:t>
            </w:r>
          </w:p>
          <w:p w:rsidR="00A05EB6" w:rsidRPr="00A05EB6" w:rsidRDefault="00A05EB6" w:rsidP="00A05EB6">
            <w:pPr>
              <w:spacing w:after="120" w:line="240" w:lineRule="auto"/>
              <w:jc w:val="both"/>
              <w:rPr>
                <w:rFonts w:ascii="Times New Roman" w:eastAsia="Calibri" w:hAnsi="Times New Roman" w:cs="Times New Roman"/>
                <w:lang w:val="bg-BG"/>
              </w:rPr>
            </w:pPr>
            <w:r w:rsidRPr="00A05EB6">
              <w:rPr>
                <w:rFonts w:ascii="Times New Roman" w:eastAsia="Calibri" w:hAnsi="Times New Roman" w:cs="Times New Roman"/>
                <w:sz w:val="24"/>
                <w:szCs w:val="24"/>
                <w:lang w:val="bg-BG"/>
              </w:rPr>
              <w:t>Кандидатът е в състояние да осигури необходимото финансиране за изпълнение на дейностите по проекта.</w:t>
            </w:r>
          </w:p>
        </w:tc>
        <w:tc>
          <w:tcPr>
            <w:tcW w:w="2370" w:type="dxa"/>
            <w:tcBorders>
              <w:top w:val="single" w:sz="6" w:space="0" w:color="000000"/>
              <w:left w:val="single" w:sz="6" w:space="0" w:color="000000"/>
              <w:bottom w:val="single" w:sz="4" w:space="0" w:color="auto"/>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4" w:space="0" w:color="auto"/>
              <w:right w:val="single" w:sz="6" w:space="0" w:color="000000"/>
            </w:tcBorders>
            <w:vAlign w:val="center"/>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p>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5, 7, 11</w:t>
            </w:r>
          </w:p>
        </w:tc>
      </w:tr>
      <w:tr w:rsidR="00A05EB6" w:rsidRPr="00A05EB6" w:rsidTr="000253F3">
        <w:tc>
          <w:tcPr>
            <w:tcW w:w="4462" w:type="dxa"/>
            <w:tcBorders>
              <w:top w:val="single" w:sz="4" w:space="0" w:color="auto"/>
              <w:left w:val="single" w:sz="4" w:space="0" w:color="auto"/>
              <w:bottom w:val="single" w:sz="4" w:space="0" w:color="auto"/>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1.2.  Технически капацитет:</w:t>
            </w:r>
          </w:p>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Кандидатът има успешно реализиран поне един проект през последните три години, който е от типа или с финансовите особености или с обхват като настоящия проект или по-голям; и/или имат поне 1 година опит в изпълнението на дейности, подобни на тези, включени в проектното предложение.</w:t>
            </w:r>
          </w:p>
        </w:tc>
        <w:tc>
          <w:tcPr>
            <w:tcW w:w="2370" w:type="dxa"/>
            <w:tcBorders>
              <w:top w:val="single" w:sz="4" w:space="0" w:color="auto"/>
              <w:left w:val="single" w:sz="6" w:space="0" w:color="000000"/>
              <w:bottom w:val="single" w:sz="4" w:space="0" w:color="auto"/>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4" w:space="0" w:color="auto"/>
              <w:left w:val="single" w:sz="6" w:space="0" w:color="000000"/>
              <w:bottom w:val="single" w:sz="4" w:space="0" w:color="auto"/>
              <w:right w:val="single" w:sz="4" w:space="0" w:color="auto"/>
            </w:tcBorders>
            <w:vAlign w:val="center"/>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2, 3, 11</w:t>
            </w:r>
          </w:p>
          <w:p w:rsidR="00A05EB6" w:rsidRPr="00A05EB6" w:rsidRDefault="00A05EB6" w:rsidP="00A05EB6">
            <w:pPr>
              <w:spacing w:after="120" w:line="240" w:lineRule="auto"/>
              <w:jc w:val="center"/>
              <w:rPr>
                <w:rFonts w:ascii="Times New Roman" w:eastAsia="Calibri" w:hAnsi="Times New Roman" w:cs="Times New Roman"/>
                <w:sz w:val="24"/>
                <w:szCs w:val="24"/>
                <w:lang w:val="bg-BG"/>
              </w:rPr>
            </w:pPr>
          </w:p>
          <w:p w:rsidR="00A05EB6" w:rsidRPr="00A05EB6" w:rsidRDefault="00A05EB6" w:rsidP="00A05EB6">
            <w:pPr>
              <w:spacing w:after="120" w:line="240" w:lineRule="auto"/>
              <w:jc w:val="center"/>
              <w:rPr>
                <w:rFonts w:ascii="Times New Roman" w:eastAsia="Calibri" w:hAnsi="Times New Roman" w:cs="Times New Roman"/>
                <w:sz w:val="24"/>
                <w:szCs w:val="24"/>
                <w:lang w:val="bg-BG"/>
              </w:rPr>
            </w:pPr>
          </w:p>
          <w:p w:rsidR="00A05EB6" w:rsidRPr="00A05EB6" w:rsidRDefault="00A05EB6" w:rsidP="00A05EB6">
            <w:pPr>
              <w:spacing w:after="120" w:line="240" w:lineRule="auto"/>
              <w:jc w:val="center"/>
              <w:rPr>
                <w:rFonts w:ascii="Times New Roman" w:eastAsia="Calibri" w:hAnsi="Times New Roman" w:cs="Times New Roman"/>
                <w:sz w:val="24"/>
                <w:szCs w:val="24"/>
                <w:lang w:val="bg-BG"/>
              </w:rPr>
            </w:pPr>
          </w:p>
        </w:tc>
      </w:tr>
      <w:tr w:rsidR="00A05EB6" w:rsidRPr="00A05EB6" w:rsidTr="000253F3">
        <w:tc>
          <w:tcPr>
            <w:tcW w:w="4462" w:type="dxa"/>
            <w:tcBorders>
              <w:top w:val="single" w:sz="4" w:space="0" w:color="auto"/>
              <w:left w:val="single" w:sz="6" w:space="0" w:color="000000"/>
              <w:bottom w:val="nil"/>
              <w:right w:val="single" w:sz="6" w:space="0" w:color="000000"/>
            </w:tcBorders>
            <w:hideMark/>
          </w:tcPr>
          <w:p w:rsidR="00A05EB6" w:rsidRPr="00A05EB6" w:rsidRDefault="00A05EB6" w:rsidP="00A05EB6">
            <w:pPr>
              <w:numPr>
                <w:ilvl w:val="1"/>
                <w:numId w:val="10"/>
              </w:num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Административен капацитет:</w:t>
            </w:r>
          </w:p>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Изборът на експерти в екипа за управление на проекта е в съответствие с Указанието на УО на ОП НОИР за конкретни бенефициенти относно изискванията за сформиране на екипите за организация и управление на проекти. Всички членове на екипа за управление на проекта имат опит в управлението и/или изпълнението на проекти и/или сходни дейности. </w:t>
            </w:r>
          </w:p>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b/>
                <w:i/>
                <w:sz w:val="24"/>
                <w:szCs w:val="24"/>
                <w:lang w:val="bg-BG" w:eastAsia="bg-BG"/>
              </w:rPr>
              <w:t xml:space="preserve"> </w:t>
            </w:r>
            <w:r w:rsidRPr="00A05EB6">
              <w:rPr>
                <w:rFonts w:ascii="Times New Roman" w:eastAsia="Calibri" w:hAnsi="Times New Roman" w:cs="Times New Roman"/>
                <w:i/>
                <w:sz w:val="24"/>
                <w:szCs w:val="24"/>
                <w:lang w:val="bg-BG" w:eastAsia="bg-BG"/>
              </w:rPr>
              <w:t>В случай че числеността на екипа за организация и управление на проекта не съответства на Указанието на УО на ОП НОИР за конкретни бенефициенти, оценителната комисия следва да го редуцира като не взема предвид в процеса на оценка административния капацитет на съответните лица.</w:t>
            </w:r>
          </w:p>
        </w:tc>
        <w:tc>
          <w:tcPr>
            <w:tcW w:w="2370" w:type="dxa"/>
            <w:tcBorders>
              <w:top w:val="single" w:sz="4" w:space="0" w:color="auto"/>
              <w:left w:val="single" w:sz="6" w:space="0" w:color="000000"/>
              <w:bottom w:val="nil"/>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4" w:space="0" w:color="auto"/>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rPr>
                <w:rFonts w:ascii="Times New Roman" w:eastAsia="Calibri" w:hAnsi="Times New Roman" w:cs="Times New Roman"/>
                <w:sz w:val="24"/>
                <w:szCs w:val="24"/>
                <w:lang w:val="bg-BG"/>
              </w:rPr>
            </w:pPr>
          </w:p>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7, 9, 11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shd w:val="clear" w:color="auto" w:fill="E6E6E6"/>
            <w:hideMark/>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2.  Описание на дейностите и организация на изпълнението</w:t>
            </w:r>
          </w:p>
        </w:tc>
        <w:tc>
          <w:tcPr>
            <w:tcW w:w="2370"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2.1. </w:t>
            </w:r>
            <w:r w:rsidRPr="00A05EB6">
              <w:rPr>
                <w:rFonts w:ascii="Times New Roman" w:eastAsia="Times New Roman" w:hAnsi="Times New Roman" w:cs="Times New Roman"/>
                <w:sz w:val="24"/>
                <w:szCs w:val="24"/>
                <w:lang w:val="bg-BG" w:eastAsia="fr-FR"/>
              </w:rPr>
              <w:t>Формулирани са конкретни и реалистични цели, които съответстват на целите на процедурата. Налице е връзка между целите и предвидените дейности и резултати.</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1, 11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2.2.  Целевите групи са описани и са количествено определени.  Нуждите им са ясно идентифицирани.</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p>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2.3. Дейностите са описани детайлно, включително начините за изпълнението им и резултатите от тях.</w:t>
            </w:r>
          </w:p>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i/>
                <w:lang w:val="bg-BG"/>
              </w:rPr>
              <w:t xml:space="preserve">В случай, че проектното предложение </w:t>
            </w:r>
            <w:r w:rsidRPr="00A05EB6">
              <w:rPr>
                <w:rFonts w:ascii="Times New Roman" w:eastAsia="Times New Roman" w:hAnsi="Times New Roman" w:cs="Times New Roman"/>
                <w:i/>
                <w:lang w:val="bg-BG"/>
              </w:rPr>
              <w:t>съдържа недопустима/и дейност/и, оценителната комисия следва да ги отстрани, както и предвидените за тях разходи.</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7, 8</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2.4. Заложените дейности допринасят за постигане на индикаторите за изпълнение и резултат на операцията.</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7, 8</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2.5. Конкретният бенефициент е идентифицирал методи за превенция на обучителни затруднения и преодоляване на системни пропуски при усвояване на учебното съдържание от учениците в риск от преждевременно напускане на образователната система. </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7, 8</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2.6. Конкретният бенефициент е предоставил информация относно начина и методите за идентифициране на целевата група, която ще бъде подкрепена чрез дейности за кариерно ориентиране за подготовка за преход към следващ образователен етап. </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7, 8</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2.7.  Планът за действие е балансиран и  реалистичен, съобразен е със спецификата на дейностите и продължителността на проекта и отразява логическата връзка на целите и дейностите.</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7, 11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2.8.  Проектното предложение допринася за реализиране на хоризонталните принципи на ОП НОИР (устойчиво развитие; равни възможности и недопускане на дискриминация; равенство между половете).</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shd w:val="clear" w:color="auto" w:fill="E0E0E0"/>
            <w:hideMark/>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3. Устойчивост</w:t>
            </w:r>
          </w:p>
        </w:tc>
        <w:tc>
          <w:tcPr>
            <w:tcW w:w="2370"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shd w:val="clear" w:color="auto" w:fill="E0E0E0"/>
            <w:vAlign w:val="center"/>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p>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3.1. Проектът създава модел, който може да бъде мултиплициран.</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3.2. Устойчивост на въздействието върху целевите групи след приключване на проекта  - Предвидена е възможност ползите от проекта за целевите групи да продължат да съществуват и след края на финансирането.</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11</w:t>
            </w:r>
          </w:p>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p>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3.3. Финансова устойчивост след приключване на проекта – Кандидатът e посочил потенциалните източници за финансиране след приключване на проекта и те са реалистични и надеждни.</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3.4.  Институционална устойчивост след приключване на проекта – Кандидатът e посочил конкретни ангажименти във връзка с осигуряване на устойчивост на дейностите и техните резултати след приключване на проекта.</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11</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shd w:val="clear" w:color="auto" w:fill="E6E6E6"/>
            <w:hideMark/>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4. Бюджет и ефективност на разходите</w:t>
            </w:r>
          </w:p>
        </w:tc>
        <w:tc>
          <w:tcPr>
            <w:tcW w:w="2370" w:type="dxa"/>
            <w:tcBorders>
              <w:top w:val="single" w:sz="6" w:space="0" w:color="000000"/>
              <w:left w:val="single" w:sz="6" w:space="0" w:color="000000"/>
              <w:bottom w:val="single" w:sz="6" w:space="0" w:color="000000"/>
              <w:right w:val="single" w:sz="6" w:space="0" w:color="000000"/>
            </w:tcBorders>
            <w:shd w:val="clear" w:color="auto" w:fill="E6E6E6"/>
            <w:vAlign w:val="center"/>
          </w:tcPr>
          <w:p w:rsidR="00A05EB6" w:rsidRPr="00A05EB6" w:rsidRDefault="00A05EB6" w:rsidP="00A05EB6">
            <w:pPr>
              <w:spacing w:after="120" w:line="240" w:lineRule="auto"/>
              <w:jc w:val="both"/>
              <w:rPr>
                <w:rFonts w:ascii="Times New Roman" w:eastAsia="Calibri" w:hAnsi="Times New Roman" w:cs="Times New Roman"/>
                <w:b/>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rsidR="00A05EB6" w:rsidRPr="00A05EB6" w:rsidRDefault="00A05EB6" w:rsidP="00A05EB6">
            <w:pPr>
              <w:spacing w:after="120" w:line="240" w:lineRule="auto"/>
              <w:jc w:val="center"/>
              <w:rPr>
                <w:rFonts w:ascii="Times New Roman" w:eastAsia="Calibri" w:hAnsi="Times New Roman" w:cs="Times New Roman"/>
                <w:b/>
                <w:sz w:val="24"/>
                <w:szCs w:val="24"/>
                <w:lang w:val="bg-BG"/>
              </w:rPr>
            </w:pPr>
            <w:r w:rsidRPr="00A05EB6">
              <w:rPr>
                <w:rFonts w:ascii="Times New Roman" w:eastAsia="Calibri" w:hAnsi="Times New Roman" w:cs="Times New Roman"/>
                <w:b/>
                <w:sz w:val="24"/>
                <w:szCs w:val="24"/>
                <w:lang w:val="bg-BG"/>
              </w:rPr>
              <w:t>5, 7</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 xml:space="preserve">4.1. Налице е съответствие и логическа връзка между дейности и разходи </w:t>
            </w:r>
            <w:r w:rsidRPr="00A05EB6">
              <w:rPr>
                <w:rFonts w:ascii="Times New Roman" w:eastAsia="Times New Roman" w:hAnsi="Times New Roman" w:cs="Times New Roman"/>
                <w:sz w:val="24"/>
                <w:szCs w:val="24"/>
                <w:lang w:val="bg-BG"/>
              </w:rPr>
              <w:t>(всички предвидени разходи съответстват на планираните дейности).</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vAlign w:val="center"/>
            <w:hideMark/>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5,7</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Times New Roman" w:hAnsi="Times New Roman" w:cs="Times New Roman"/>
                <w:sz w:val="24"/>
                <w:szCs w:val="24"/>
                <w:lang w:val="bg-BG"/>
              </w:rPr>
            </w:pPr>
            <w:r w:rsidRPr="00A05EB6">
              <w:rPr>
                <w:rFonts w:ascii="Times New Roman" w:eastAsia="Calibri" w:hAnsi="Times New Roman" w:cs="Times New Roman"/>
                <w:sz w:val="24"/>
                <w:szCs w:val="24"/>
                <w:lang w:val="bg-BG"/>
              </w:rPr>
              <w:t>4.2. Заложените суми са съобразени с наложилите се в страната пазарни цени (ако е приложимо) и/или з</w:t>
            </w:r>
            <w:r w:rsidRPr="00A05EB6">
              <w:rPr>
                <w:rFonts w:ascii="Times New Roman" w:eastAsia="Times New Roman" w:hAnsi="Times New Roman" w:cs="Times New Roman"/>
                <w:sz w:val="24"/>
                <w:szCs w:val="24"/>
                <w:lang w:val="bg-BG"/>
              </w:rPr>
              <w:t>аложените ограничения на разходите по процедурата са спазени при формиране на бюджета. Разходите са допустими и не се дублират.</w:t>
            </w:r>
          </w:p>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sidRPr="00A05EB6">
              <w:rPr>
                <w:rFonts w:ascii="Times New Roman" w:eastAsia="Times New Roman" w:hAnsi="Times New Roman" w:cs="Times New Roman"/>
                <w:i/>
                <w:sz w:val="24"/>
                <w:szCs w:val="24"/>
                <w:lang w:val="bg-BG"/>
              </w:rPr>
              <w:t>В случай че проектното предложение съдържа недопустими разходи или  разходи, които се дублират, оценителната комисия следва да ги отстрани.</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5,7</w:t>
            </w:r>
          </w:p>
        </w:tc>
      </w:tr>
      <w:tr w:rsidR="00A05EB6" w:rsidRPr="00A05EB6" w:rsidTr="00D53BAB">
        <w:tc>
          <w:tcPr>
            <w:tcW w:w="4462"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r>
              <w:rPr>
                <w:rFonts w:ascii="Times New Roman" w:eastAsia="Calibri" w:hAnsi="Times New Roman" w:cs="Times New Roman"/>
                <w:sz w:val="24"/>
                <w:szCs w:val="24"/>
                <w:lang w:val="bg-BG"/>
              </w:rPr>
              <w:t xml:space="preserve">4.3. </w:t>
            </w:r>
            <w:r w:rsidRPr="00A05EB6">
              <w:rPr>
                <w:rFonts w:ascii="Times New Roman" w:eastAsia="Times New Roman" w:hAnsi="Times New Roman" w:cs="Times New Roman"/>
                <w:sz w:val="24"/>
                <w:szCs w:val="24"/>
                <w:lang w:val="bg-BG"/>
              </w:rPr>
              <w:t>Предвидените разходи са необходими за изпълнение на проекта и за постигане на заложените индикатори.</w:t>
            </w:r>
          </w:p>
        </w:tc>
        <w:tc>
          <w:tcPr>
            <w:tcW w:w="2370" w:type="dxa"/>
            <w:tcBorders>
              <w:top w:val="single" w:sz="6" w:space="0" w:color="000000"/>
              <w:left w:val="single" w:sz="6" w:space="0" w:color="000000"/>
              <w:bottom w:val="single" w:sz="6" w:space="0" w:color="000000"/>
              <w:right w:val="single" w:sz="6" w:space="0" w:color="000000"/>
            </w:tcBorders>
            <w:vAlign w:val="center"/>
          </w:tcPr>
          <w:p w:rsidR="00A05EB6" w:rsidRPr="00A05EB6" w:rsidRDefault="00A05EB6" w:rsidP="00A05EB6">
            <w:pPr>
              <w:spacing w:after="120" w:line="240" w:lineRule="auto"/>
              <w:jc w:val="both"/>
              <w:rPr>
                <w:rFonts w:ascii="Times New Roman" w:eastAsia="Calibri" w:hAnsi="Times New Roman" w:cs="Times New Roman"/>
                <w:sz w:val="24"/>
                <w:szCs w:val="24"/>
                <w:lang w:val="bg-BG"/>
              </w:rPr>
            </w:pPr>
          </w:p>
        </w:tc>
        <w:tc>
          <w:tcPr>
            <w:tcW w:w="3063" w:type="dxa"/>
            <w:tcBorders>
              <w:top w:val="single" w:sz="6" w:space="0" w:color="000000"/>
              <w:left w:val="single" w:sz="6" w:space="0" w:color="000000"/>
              <w:bottom w:val="single" w:sz="6" w:space="0" w:color="000000"/>
              <w:right w:val="single" w:sz="6" w:space="0" w:color="000000"/>
            </w:tcBorders>
            <w:hideMark/>
          </w:tcPr>
          <w:p w:rsidR="00A05EB6" w:rsidRPr="00A05EB6" w:rsidRDefault="00A05EB6" w:rsidP="00A05EB6">
            <w:pPr>
              <w:spacing w:after="120" w:line="240" w:lineRule="auto"/>
              <w:jc w:val="center"/>
              <w:rPr>
                <w:rFonts w:ascii="Times New Roman" w:eastAsia="Calibri" w:hAnsi="Times New Roman" w:cs="Times New Roman"/>
                <w:sz w:val="24"/>
                <w:szCs w:val="24"/>
                <w:lang w:val="bg-BG"/>
              </w:rPr>
            </w:pPr>
            <w:r w:rsidRPr="00A05EB6">
              <w:rPr>
                <w:rFonts w:ascii="Times New Roman" w:eastAsia="Calibri" w:hAnsi="Times New Roman" w:cs="Times New Roman"/>
                <w:sz w:val="24"/>
                <w:szCs w:val="24"/>
                <w:lang w:val="bg-BG"/>
              </w:rPr>
              <w:t>5,7</w:t>
            </w:r>
          </w:p>
        </w:tc>
      </w:tr>
    </w:tbl>
    <w:p w:rsidR="00A05EB6" w:rsidRPr="00A05EB6" w:rsidRDefault="00A05EB6" w:rsidP="00A05EB6">
      <w:pPr>
        <w:spacing w:after="120" w:line="240" w:lineRule="auto"/>
        <w:jc w:val="both"/>
        <w:rPr>
          <w:rFonts w:ascii="Times New Roman" w:eastAsia="SimSun" w:hAnsi="Times New Roman" w:cs="Times New Roman"/>
          <w:color w:val="FF0000"/>
          <w:sz w:val="24"/>
          <w:szCs w:val="24"/>
          <w:lang w:val="bg-BG" w:eastAsia="zh-CN"/>
        </w:rPr>
      </w:pPr>
    </w:p>
    <w:p w:rsidR="00EB4488" w:rsidRPr="00A05EB6" w:rsidRDefault="00EB4488" w:rsidP="00A05EB6">
      <w:pPr>
        <w:rPr>
          <w:lang w:val="bg-BG"/>
        </w:rPr>
      </w:pPr>
    </w:p>
    <w:sectPr w:rsidR="00EB4488" w:rsidRPr="00A05EB6" w:rsidSect="00445339">
      <w:headerReference w:type="default" r:id="rId8"/>
      <w:footerReference w:type="even" r:id="rId9"/>
      <w:footerReference w:type="default" r:id="rId10"/>
      <w:pgSz w:w="11906" w:h="16838"/>
      <w:pgMar w:top="1682" w:right="1418" w:bottom="720" w:left="1418"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78D" w:rsidRDefault="00D3678D" w:rsidP="000211EE">
      <w:pPr>
        <w:spacing w:after="0" w:line="240" w:lineRule="auto"/>
      </w:pPr>
      <w:r>
        <w:separator/>
      </w:r>
    </w:p>
  </w:endnote>
  <w:endnote w:type="continuationSeparator" w:id="0">
    <w:p w:rsidR="00D3678D" w:rsidRDefault="00D3678D" w:rsidP="000211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6C7" w:rsidRDefault="00C0277E" w:rsidP="003A2B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06C7" w:rsidRDefault="00D3678D" w:rsidP="003A2B1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06C7" w:rsidRDefault="00C0277E">
    <w:pPr>
      <w:pStyle w:val="Footer"/>
      <w:jc w:val="right"/>
    </w:pPr>
    <w:r>
      <w:fldChar w:fldCharType="begin"/>
    </w:r>
    <w:r>
      <w:instrText xml:space="preserve"> PAGE   \* MERGEFORMAT </w:instrText>
    </w:r>
    <w:r>
      <w:fldChar w:fldCharType="separate"/>
    </w:r>
    <w:r w:rsidR="00D3678D">
      <w:rPr>
        <w:noProof/>
      </w:rPr>
      <w:t>1</w:t>
    </w:r>
    <w:r>
      <w:rPr>
        <w:noProof/>
      </w:rPr>
      <w:fldChar w:fldCharType="end"/>
    </w:r>
  </w:p>
  <w:p w:rsidR="00CB06C7" w:rsidRDefault="00D3678D" w:rsidP="00185DDE">
    <w:pPr>
      <w:pStyle w:val="Footer"/>
      <w:tabs>
        <w:tab w:val="clear" w:pos="4513"/>
        <w:tab w:val="center" w:pos="4535"/>
        <w:tab w:val="right" w:pos="907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78D" w:rsidRDefault="00D3678D" w:rsidP="000211EE">
      <w:pPr>
        <w:spacing w:after="0" w:line="240" w:lineRule="auto"/>
      </w:pPr>
      <w:r>
        <w:separator/>
      </w:r>
    </w:p>
  </w:footnote>
  <w:footnote w:type="continuationSeparator" w:id="0">
    <w:p w:rsidR="00D3678D" w:rsidRDefault="00D3678D" w:rsidP="000211EE">
      <w:pPr>
        <w:spacing w:after="0" w:line="240" w:lineRule="auto"/>
      </w:pPr>
      <w:r>
        <w:continuationSeparator/>
      </w:r>
    </w:p>
  </w:footnote>
  <w:footnote w:id="1">
    <w:p w:rsidR="00A05EB6" w:rsidRDefault="00A05EB6" w:rsidP="00A05EB6">
      <w:pPr>
        <w:pStyle w:val="FootnoteText"/>
        <w:jc w:val="both"/>
      </w:pPr>
      <w:r>
        <w:rPr>
          <w:rStyle w:val="FootnoteReference"/>
        </w:rPr>
        <w:footnoteRef/>
      </w:r>
      <w:r>
        <w:t>В съответствие с чл. 44, ал. 4 от ЗУСЕСИФ, когато се установи че кандидатът не е представил някои от посочените документи в т. 23 от условията за кандидатстване или друга нередовност, УО изпраща на кандидата уведомление за установените нередовности и определя разумен срок, който не може да бъде по-кратък от една седмица.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Срокът за оценка на проектното предложение спира да тече до датата на тяхното отстраняване.</w:t>
      </w:r>
    </w:p>
    <w:p w:rsidR="00A05EB6" w:rsidRDefault="00A05EB6" w:rsidP="00A05EB6">
      <w:pPr>
        <w:pStyle w:val="FootnoteText"/>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5339" w:rsidRDefault="00C0277E" w:rsidP="00336555">
    <w:pPr>
      <w:pStyle w:val="Subtitle"/>
      <w:jc w:val="right"/>
      <w:rPr>
        <w:rFonts w:ascii="Times New Roman" w:hAnsi="Times New Roman"/>
        <w:b/>
        <w:bCs/>
        <w:color w:val="auto"/>
        <w:sz w:val="26"/>
        <w:szCs w:val="26"/>
        <w:lang w:val="bg-BG"/>
      </w:rPr>
    </w:pPr>
    <w:r>
      <w:rPr>
        <w:noProof/>
        <w:lang w:eastAsia="en-GB"/>
      </w:rPr>
      <w:drawing>
        <wp:anchor distT="0" distB="0" distL="114300" distR="114300" simplePos="0" relativeHeight="251659264" behindDoc="0" locked="0" layoutInCell="1" allowOverlap="1" wp14:anchorId="0EC14EA3" wp14:editId="28F27AE3">
          <wp:simplePos x="0" y="0"/>
          <wp:positionH relativeFrom="margin">
            <wp:posOffset>4293180</wp:posOffset>
          </wp:positionH>
          <wp:positionV relativeFrom="topMargin">
            <wp:posOffset>269958</wp:posOffset>
          </wp:positionV>
          <wp:extent cx="1567815" cy="498475"/>
          <wp:effectExtent l="0" t="0" r="0" b="0"/>
          <wp:wrapSquare wrapText="bothSides"/>
          <wp:docPr id="1" name="Picture 1"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Calibri"/>
        <w:noProof/>
        <w:lang w:eastAsia="en-GB"/>
      </w:rPr>
      <w:drawing>
        <wp:anchor distT="0" distB="0" distL="114300" distR="114300" simplePos="0" relativeHeight="251660288" behindDoc="1" locked="0" layoutInCell="1" allowOverlap="1" wp14:anchorId="79612EBA" wp14:editId="204A94BA">
          <wp:simplePos x="0" y="0"/>
          <wp:positionH relativeFrom="margin">
            <wp:posOffset>-253724</wp:posOffset>
          </wp:positionH>
          <wp:positionV relativeFrom="paragraph">
            <wp:posOffset>10160</wp:posOffset>
          </wp:positionV>
          <wp:extent cx="1550670" cy="524510"/>
          <wp:effectExtent l="0" t="0" r="0" b="8890"/>
          <wp:wrapTight wrapText="bothSides">
            <wp:wrapPolygon edited="0">
              <wp:start x="265" y="785"/>
              <wp:lineTo x="265" y="21182"/>
              <wp:lineTo x="10084" y="21182"/>
              <wp:lineTo x="10880" y="20397"/>
              <wp:lineTo x="19636" y="15690"/>
              <wp:lineTo x="20432" y="8630"/>
              <wp:lineTo x="18840" y="7061"/>
              <wp:lineTo x="10084" y="785"/>
              <wp:lineTo x="265" y="785"/>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0670" cy="5245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45339" w:rsidRDefault="00D3678D" w:rsidP="00336555">
    <w:pPr>
      <w:pStyle w:val="Subtitle"/>
      <w:jc w:val="right"/>
      <w:rPr>
        <w:rFonts w:ascii="Times New Roman" w:hAnsi="Times New Roman"/>
        <w:b/>
        <w:bCs/>
        <w:color w:val="auto"/>
        <w:sz w:val="26"/>
        <w:szCs w:val="26"/>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93FF9"/>
    <w:multiLevelType w:val="hybridMultilevel"/>
    <w:tmpl w:val="ED880732"/>
    <w:lvl w:ilvl="0" w:tplc="DDFC97C0">
      <w:start w:val="1"/>
      <w:numFmt w:val="bullet"/>
      <w:lvlText w:val="•"/>
      <w:lvlJc w:val="left"/>
      <w:pPr>
        <w:ind w:left="1857" w:hanging="360"/>
      </w:pPr>
      <w:rPr>
        <w:rFonts w:hint="default"/>
      </w:rPr>
    </w:lvl>
    <w:lvl w:ilvl="1" w:tplc="08090003" w:tentative="1">
      <w:start w:val="1"/>
      <w:numFmt w:val="bullet"/>
      <w:lvlText w:val="o"/>
      <w:lvlJc w:val="left"/>
      <w:pPr>
        <w:ind w:left="2577" w:hanging="360"/>
      </w:pPr>
      <w:rPr>
        <w:rFonts w:ascii="Courier New" w:hAnsi="Courier New" w:cs="Courier New" w:hint="default"/>
      </w:rPr>
    </w:lvl>
    <w:lvl w:ilvl="2" w:tplc="08090005" w:tentative="1">
      <w:start w:val="1"/>
      <w:numFmt w:val="bullet"/>
      <w:lvlText w:val=""/>
      <w:lvlJc w:val="left"/>
      <w:pPr>
        <w:ind w:left="3297" w:hanging="360"/>
      </w:pPr>
      <w:rPr>
        <w:rFonts w:ascii="Wingdings" w:hAnsi="Wingdings" w:hint="default"/>
      </w:rPr>
    </w:lvl>
    <w:lvl w:ilvl="3" w:tplc="08090001" w:tentative="1">
      <w:start w:val="1"/>
      <w:numFmt w:val="bullet"/>
      <w:lvlText w:val=""/>
      <w:lvlJc w:val="left"/>
      <w:pPr>
        <w:ind w:left="4017" w:hanging="360"/>
      </w:pPr>
      <w:rPr>
        <w:rFonts w:ascii="Symbol" w:hAnsi="Symbol" w:hint="default"/>
      </w:rPr>
    </w:lvl>
    <w:lvl w:ilvl="4" w:tplc="08090003" w:tentative="1">
      <w:start w:val="1"/>
      <w:numFmt w:val="bullet"/>
      <w:lvlText w:val="o"/>
      <w:lvlJc w:val="left"/>
      <w:pPr>
        <w:ind w:left="4737" w:hanging="360"/>
      </w:pPr>
      <w:rPr>
        <w:rFonts w:ascii="Courier New" w:hAnsi="Courier New" w:cs="Courier New" w:hint="default"/>
      </w:rPr>
    </w:lvl>
    <w:lvl w:ilvl="5" w:tplc="08090005" w:tentative="1">
      <w:start w:val="1"/>
      <w:numFmt w:val="bullet"/>
      <w:lvlText w:val=""/>
      <w:lvlJc w:val="left"/>
      <w:pPr>
        <w:ind w:left="5457" w:hanging="360"/>
      </w:pPr>
      <w:rPr>
        <w:rFonts w:ascii="Wingdings" w:hAnsi="Wingdings" w:hint="default"/>
      </w:rPr>
    </w:lvl>
    <w:lvl w:ilvl="6" w:tplc="08090001" w:tentative="1">
      <w:start w:val="1"/>
      <w:numFmt w:val="bullet"/>
      <w:lvlText w:val=""/>
      <w:lvlJc w:val="left"/>
      <w:pPr>
        <w:ind w:left="6177" w:hanging="360"/>
      </w:pPr>
      <w:rPr>
        <w:rFonts w:ascii="Symbol" w:hAnsi="Symbol" w:hint="default"/>
      </w:rPr>
    </w:lvl>
    <w:lvl w:ilvl="7" w:tplc="08090003" w:tentative="1">
      <w:start w:val="1"/>
      <w:numFmt w:val="bullet"/>
      <w:lvlText w:val="o"/>
      <w:lvlJc w:val="left"/>
      <w:pPr>
        <w:ind w:left="6897" w:hanging="360"/>
      </w:pPr>
      <w:rPr>
        <w:rFonts w:ascii="Courier New" w:hAnsi="Courier New" w:cs="Courier New" w:hint="default"/>
      </w:rPr>
    </w:lvl>
    <w:lvl w:ilvl="8" w:tplc="08090005" w:tentative="1">
      <w:start w:val="1"/>
      <w:numFmt w:val="bullet"/>
      <w:lvlText w:val=""/>
      <w:lvlJc w:val="left"/>
      <w:pPr>
        <w:ind w:left="7617" w:hanging="360"/>
      </w:pPr>
      <w:rPr>
        <w:rFonts w:ascii="Wingdings" w:hAnsi="Wingdings" w:hint="default"/>
      </w:rPr>
    </w:lvl>
  </w:abstractNum>
  <w:abstractNum w:abstractNumId="1" w15:restartNumberingAfterBreak="0">
    <w:nsid w:val="196A3889"/>
    <w:multiLevelType w:val="multilevel"/>
    <w:tmpl w:val="0DB67226"/>
    <w:lvl w:ilvl="0">
      <w:start w:val="1"/>
      <w:numFmt w:val="decimal"/>
      <w:lvlText w:val="%1."/>
      <w:lvlJc w:val="left"/>
      <w:pPr>
        <w:ind w:left="720" w:hanging="360"/>
      </w:pPr>
      <w:rPr>
        <w:b/>
      </w:rPr>
    </w:lvl>
    <w:lvl w:ilvl="1">
      <w:start w:val="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E1A7B32"/>
    <w:multiLevelType w:val="multilevel"/>
    <w:tmpl w:val="55CE27F2"/>
    <w:lvl w:ilvl="0">
      <w:start w:val="1"/>
      <w:numFmt w:val="decimal"/>
      <w:lvlText w:val="%1."/>
      <w:lvlJc w:val="left"/>
      <w:pPr>
        <w:ind w:left="360" w:hanging="360"/>
      </w:pPr>
      <w:rPr>
        <w:rFonts w:hint="default"/>
      </w:rPr>
    </w:lvl>
    <w:lvl w:ilvl="1">
      <w:start w:val="1"/>
      <w:numFmt w:val="decimal"/>
      <w:isLgl/>
      <w:lvlText w:val="%1.%2."/>
      <w:lvlJc w:val="left"/>
      <w:pPr>
        <w:ind w:left="600" w:hanging="555"/>
      </w:pPr>
      <w:rPr>
        <w:rFonts w:hint="default"/>
        <w:sz w:val="24"/>
      </w:rPr>
    </w:lvl>
    <w:lvl w:ilvl="2">
      <w:start w:val="1"/>
      <w:numFmt w:val="decimal"/>
      <w:isLgl/>
      <w:lvlText w:val="%1.%2.%3."/>
      <w:lvlJc w:val="left"/>
      <w:pPr>
        <w:ind w:left="765" w:hanging="720"/>
      </w:pPr>
      <w:rPr>
        <w:rFonts w:hint="default"/>
        <w:sz w:val="24"/>
      </w:rPr>
    </w:lvl>
    <w:lvl w:ilvl="3">
      <w:start w:val="1"/>
      <w:numFmt w:val="decimal"/>
      <w:isLgl/>
      <w:lvlText w:val="%1.%2.%3.%4."/>
      <w:lvlJc w:val="left"/>
      <w:pPr>
        <w:ind w:left="765" w:hanging="720"/>
      </w:pPr>
      <w:rPr>
        <w:rFonts w:hint="default"/>
        <w:sz w:val="24"/>
      </w:rPr>
    </w:lvl>
    <w:lvl w:ilvl="4">
      <w:start w:val="1"/>
      <w:numFmt w:val="decimal"/>
      <w:isLgl/>
      <w:lvlText w:val="%1.%2.%3.%4.%5."/>
      <w:lvlJc w:val="left"/>
      <w:pPr>
        <w:ind w:left="1125" w:hanging="1080"/>
      </w:pPr>
      <w:rPr>
        <w:rFonts w:hint="default"/>
        <w:sz w:val="24"/>
      </w:rPr>
    </w:lvl>
    <w:lvl w:ilvl="5">
      <w:start w:val="1"/>
      <w:numFmt w:val="decimal"/>
      <w:isLgl/>
      <w:lvlText w:val="%1.%2.%3.%4.%5.%6."/>
      <w:lvlJc w:val="left"/>
      <w:pPr>
        <w:ind w:left="1125" w:hanging="1080"/>
      </w:pPr>
      <w:rPr>
        <w:rFonts w:hint="default"/>
        <w:sz w:val="24"/>
      </w:rPr>
    </w:lvl>
    <w:lvl w:ilvl="6">
      <w:start w:val="1"/>
      <w:numFmt w:val="decimal"/>
      <w:isLgl/>
      <w:lvlText w:val="%1.%2.%3.%4.%5.%6.%7."/>
      <w:lvlJc w:val="left"/>
      <w:pPr>
        <w:ind w:left="1485" w:hanging="1440"/>
      </w:pPr>
      <w:rPr>
        <w:rFonts w:hint="default"/>
        <w:sz w:val="24"/>
      </w:rPr>
    </w:lvl>
    <w:lvl w:ilvl="7">
      <w:start w:val="1"/>
      <w:numFmt w:val="decimal"/>
      <w:isLgl/>
      <w:lvlText w:val="%1.%2.%3.%4.%5.%6.%7.%8."/>
      <w:lvlJc w:val="left"/>
      <w:pPr>
        <w:ind w:left="1485" w:hanging="1440"/>
      </w:pPr>
      <w:rPr>
        <w:rFonts w:hint="default"/>
        <w:sz w:val="24"/>
      </w:rPr>
    </w:lvl>
    <w:lvl w:ilvl="8">
      <w:start w:val="1"/>
      <w:numFmt w:val="decimal"/>
      <w:isLgl/>
      <w:lvlText w:val="%1.%2.%3.%4.%5.%6.%7.%8.%9."/>
      <w:lvlJc w:val="left"/>
      <w:pPr>
        <w:ind w:left="1845" w:hanging="1800"/>
      </w:pPr>
      <w:rPr>
        <w:rFonts w:hint="default"/>
        <w:sz w:val="24"/>
      </w:rPr>
    </w:lvl>
  </w:abstractNum>
  <w:abstractNum w:abstractNumId="4" w15:restartNumberingAfterBreak="0">
    <w:nsid w:val="220A1E88"/>
    <w:multiLevelType w:val="hybridMultilevel"/>
    <w:tmpl w:val="E32E08DA"/>
    <w:lvl w:ilvl="0" w:tplc="65E0E19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F65413"/>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711F7196"/>
    <w:multiLevelType w:val="hybridMultilevel"/>
    <w:tmpl w:val="60087972"/>
    <w:lvl w:ilvl="0" w:tplc="8FAC2AC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1BB"/>
    <w:rsid w:val="000211EE"/>
    <w:rsid w:val="000253F3"/>
    <w:rsid w:val="001F0E35"/>
    <w:rsid w:val="00331063"/>
    <w:rsid w:val="003367C0"/>
    <w:rsid w:val="003434A2"/>
    <w:rsid w:val="00377D5F"/>
    <w:rsid w:val="0039538C"/>
    <w:rsid w:val="004529EA"/>
    <w:rsid w:val="004E1CF3"/>
    <w:rsid w:val="00620613"/>
    <w:rsid w:val="00670937"/>
    <w:rsid w:val="00713D0D"/>
    <w:rsid w:val="008B3ED9"/>
    <w:rsid w:val="009221B2"/>
    <w:rsid w:val="00954543"/>
    <w:rsid w:val="00983E33"/>
    <w:rsid w:val="00A05EB6"/>
    <w:rsid w:val="00A9714B"/>
    <w:rsid w:val="00B81544"/>
    <w:rsid w:val="00C013EF"/>
    <w:rsid w:val="00C0277E"/>
    <w:rsid w:val="00CB69FC"/>
    <w:rsid w:val="00CD2CA8"/>
    <w:rsid w:val="00D2152F"/>
    <w:rsid w:val="00D2240B"/>
    <w:rsid w:val="00D3678D"/>
    <w:rsid w:val="00D562E4"/>
    <w:rsid w:val="00D93ECE"/>
    <w:rsid w:val="00E757BE"/>
    <w:rsid w:val="00E921A7"/>
    <w:rsid w:val="00EB4488"/>
    <w:rsid w:val="00F051BB"/>
    <w:rsid w:val="00FE7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8A6EFB-B456-471C-98DB-950BC9F37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1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11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11EE"/>
  </w:style>
  <w:style w:type="paragraph" w:styleId="Subtitle">
    <w:name w:val="Subtitle"/>
    <w:basedOn w:val="Normal"/>
    <w:next w:val="Normal"/>
    <w:link w:val="SubtitleChar"/>
    <w:uiPriority w:val="11"/>
    <w:qFormat/>
    <w:rsid w:val="000211E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211EE"/>
    <w:rPr>
      <w:rFonts w:eastAsiaTheme="minorEastAsia"/>
      <w:color w:val="5A5A5A" w:themeColor="text1" w:themeTint="A5"/>
      <w:spacing w:val="15"/>
    </w:rPr>
  </w:style>
  <w:style w:type="character" w:styleId="PageNumber">
    <w:name w:val="page number"/>
    <w:basedOn w:val="DefaultParagraphFont"/>
    <w:rsid w:val="000211EE"/>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uiPriority w:val="99"/>
    <w:rsid w:val="000211EE"/>
    <w:pPr>
      <w:spacing w:after="0" w:line="240" w:lineRule="auto"/>
    </w:pPr>
    <w:rPr>
      <w:rFonts w:ascii="Times New Roman" w:eastAsia="SimSun" w:hAnsi="Times New Roman" w:cs="Times New Roman"/>
      <w:sz w:val="20"/>
      <w:szCs w:val="20"/>
      <w:lang w:val="bg-BG" w:eastAsia="zh-CN"/>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0211EE"/>
    <w:rPr>
      <w:rFonts w:ascii="Times New Roman" w:eastAsia="SimSun" w:hAnsi="Times New Roman" w:cs="Times New Roman"/>
      <w:sz w:val="20"/>
      <w:szCs w:val="20"/>
      <w:lang w:val="bg-BG" w:eastAsia="zh-CN"/>
    </w:rPr>
  </w:style>
  <w:style w:type="character" w:styleId="FootnoteReference">
    <w:name w:val="footnote reference"/>
    <w:rsid w:val="000211EE"/>
    <w:rPr>
      <w:vertAlign w:val="superscript"/>
    </w:rPr>
  </w:style>
  <w:style w:type="paragraph" w:styleId="Header">
    <w:name w:val="header"/>
    <w:basedOn w:val="Normal"/>
    <w:link w:val="HeaderChar"/>
    <w:uiPriority w:val="99"/>
    <w:unhideWhenUsed/>
    <w:rsid w:val="000211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11EE"/>
  </w:style>
  <w:style w:type="paragraph" w:styleId="ListParagraph">
    <w:name w:val="List Paragraph"/>
    <w:basedOn w:val="Normal"/>
    <w:uiPriority w:val="34"/>
    <w:qFormat/>
    <w:rsid w:val="00CD2C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umis2020.government.b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Nely Georgieva</dc:creator>
  <cp:keywords/>
  <dc:description/>
  <cp:lastModifiedBy>Magdalena Dimitrova</cp:lastModifiedBy>
  <cp:revision>2</cp:revision>
  <dcterms:created xsi:type="dcterms:W3CDTF">2018-11-20T15:42:00Z</dcterms:created>
  <dcterms:modified xsi:type="dcterms:W3CDTF">2018-11-20T15:42:00Z</dcterms:modified>
</cp:coreProperties>
</file>